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червня 2017 року </w:t>
        <w:tab/>
        <w:tab/>
        <w:tab/>
        <w:tab/>
        <w:t xml:space="preserve">№ 401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114935</wp:posOffset>
                </wp:positionH>
                <wp:positionV relativeFrom="paragraph">
                  <wp:posOffset>114300</wp:posOffset>
                </wp:positionV>
                <wp:extent cx="3263900" cy="800100"/>
                <wp:effectExtent b="0" l="0" r="0" t="0"/>
                <wp:wrapSquare wrapText="bothSides" distB="0" distT="0" distL="114935" distR="114935"/>
                <wp:docPr id="1" name=""/>
                <a:graphic>
                  <a:graphicData uri="http://schemas.microsoft.com/office/word/2010/wordprocessingShape">
                    <wps:wsp>
                      <wps:cNvSpPr/>
                      <wps:cNvPr id="2" name="Shape 2"/>
                      <wps:spPr>
                        <a:xfrm>
                          <a:off x="3718178" y="3379950"/>
                          <a:ext cx="3255645" cy="800100"/>
                        </a:xfrm>
                        <a:prstGeom prst="rect">
                          <a:avLst/>
                        </a:prstGeom>
                        <a:solidFill>
                          <a:srgbClr val="FFFFFF"/>
                        </a:solidFill>
                        <a:ln>
                          <a:noFill/>
                        </a:ln>
                      </wps:spPr>
                      <wps:txbx>
                        <w:txbxContent>
                          <w:p w:rsidR="00000000" w:rsidDel="00000000" w:rsidP="00000000" w:rsidRDefault="00000000" w:rsidRPr="00000000">
                            <w:pPr>
                              <w:spacing w:after="120" w:before="0" w:line="240"/>
                              <w:ind w:left="0" w:right="13.999999761581421" w:firstLine="0"/>
                              <w:jc w:val="both"/>
                              <w:textDirection w:val="btLr"/>
                            </w:pPr>
                            <w:r w:rsidDel="00000000" w:rsidR="00000000" w:rsidRPr="00000000">
                              <w:rPr>
                                <w:rFonts w:ascii="Arial" w:cs="Arial" w:eastAsia="Arial" w:hAnsi="Arial"/>
                                <w:b w:val="1"/>
                                <w:i w:val="1"/>
                                <w:smallCaps w:val="0"/>
                                <w:strike w:val="0"/>
                                <w:color w:val="000000"/>
                                <w:sz w:val="28"/>
                                <w:vertAlign w:val="baseline"/>
                              </w:rPr>
                              <w:t xml:space="preserve">Про реалізацію Програми компенсації перевізникам за пільговий проїзд окремих категорій громадян автомобільним та залізничним транспортом на 2017 рік</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114935</wp:posOffset>
                </wp:positionH>
                <wp:positionV relativeFrom="paragraph">
                  <wp:posOffset>114300</wp:posOffset>
                </wp:positionV>
                <wp:extent cx="3263900" cy="800100"/>
                <wp:effectExtent b="0" l="0" r="0" t="0"/>
                <wp:wrapSquare wrapText="bothSides" distB="0" distT="0" distL="114935" distR="114935"/>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3263900" cy="800100"/>
                        </a:xfrm>
                        <a:prstGeom prst="rect"/>
                        <a:ln/>
                      </pic:spPr>
                    </pic:pic>
                  </a:graphicData>
                </a:graphic>
              </wp:anchor>
            </w:drawing>
          </mc:Fallback>
        </mc:AlternateConten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п.7 ч.1 ст.39 Закону України «Про місцеві державні адміністрації», розпорядження голови Львівської обласної державної адміністрації від 6 червня 2017 року № 498/0/5-17 «Про реалізацію Програми компенсації перевізникам за пільговий проїзд окремих категорій громадян автомобільним та залізничним транспортом у Львівській області на 2017 рік»:</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обсяг субвенції з обласного бюджету місцевим бюджетам для проведення розрахунків з компенсаційних виплат за пільговий проїзд окремих категорій громадян в 2017 році по КПКВК 1513035 «Компенсаційні виплати на пільговий проїзд автомобільним транспортом окремим категоріям громадян» КЕКВ 2610 «Субсидії та поточні трансферти підприємствам (установам, організаціям)» на загальну суму 669 700,00 (шістсот шістдесят дев’ять тисяч сімсот) гривень.</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Фінансовому управлінню районної державної адміністрації (Л.Максим) внести відповідні зміни у показники районного бюджету на 2017 рік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Управлінню соціального захисту населення районної державної адміністрації (М.Степований) забезпечити цільове та ефективне використання коштів субвенції з обласного бюджету.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залишаю за собою.</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